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53" w:rsidRPr="008A66D8" w:rsidRDefault="00C335A7" w:rsidP="00C335A7">
      <w:pPr>
        <w:shd w:val="clear" w:color="auto" w:fill="D9D9D9" w:themeFill="background1" w:themeFillShade="D9"/>
        <w:ind w:left="2268" w:right="2268"/>
        <w:jc w:val="center"/>
        <w:rPr>
          <w:sz w:val="28"/>
          <w:szCs w:val="28"/>
        </w:rPr>
      </w:pPr>
      <w:r>
        <w:rPr>
          <w:noProof/>
          <w:sz w:val="28"/>
          <w:szCs w:val="28"/>
          <w:lang w:eastAsia="fr-FR"/>
        </w:rPr>
        <w:pict>
          <v:shapetype id="_x0000_t202" coordsize="21600,21600" o:spt="202" path="m,l,21600r21600,l21600,xe">
            <v:stroke joinstyle="miter"/>
            <v:path gradientshapeok="t" o:connecttype="rect"/>
          </v:shapetype>
          <v:shape id="_x0000_s1026" type="#_x0000_t202" style="position:absolute;left:0;text-align:left;margin-left:7.65pt;margin-top:.65pt;width:85pt;height:124pt;z-index:251658240" strokecolor="white [3212]">
            <v:textbox>
              <w:txbxContent>
                <w:p w:rsidR="00C335A7" w:rsidRDefault="00C335A7">
                  <w:r>
                    <w:rPr>
                      <w:noProof/>
                      <w:lang w:eastAsia="fr-FR"/>
                    </w:rPr>
                    <w:drawing>
                      <wp:inline distT="0" distB="0" distL="0" distR="0">
                        <wp:extent cx="859178" cy="1276350"/>
                        <wp:effectExtent l="19050" t="0" r="0" b="0"/>
                        <wp:docPr id="1" name="Image 1" descr="Logo 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école"/>
                                <pic:cNvPicPr>
                                  <a:picLocks noChangeAspect="1" noChangeArrowheads="1"/>
                                </pic:cNvPicPr>
                              </pic:nvPicPr>
                              <pic:blipFill>
                                <a:blip r:embed="rId5"/>
                                <a:srcRect/>
                                <a:stretch>
                                  <a:fillRect/>
                                </a:stretch>
                              </pic:blipFill>
                              <pic:spPr bwMode="auto">
                                <a:xfrm>
                                  <a:off x="0" y="0"/>
                                  <a:ext cx="860640" cy="1278523"/>
                                </a:xfrm>
                                <a:prstGeom prst="rect">
                                  <a:avLst/>
                                </a:prstGeom>
                                <a:noFill/>
                                <a:ln w="9525">
                                  <a:noFill/>
                                  <a:miter lim="800000"/>
                                  <a:headEnd/>
                                  <a:tailEnd/>
                                </a:ln>
                              </pic:spPr>
                            </pic:pic>
                          </a:graphicData>
                        </a:graphic>
                      </wp:inline>
                    </w:drawing>
                  </w:r>
                </w:p>
              </w:txbxContent>
            </v:textbox>
          </v:shape>
        </w:pict>
      </w:r>
      <w:r w:rsidR="008A66D8" w:rsidRPr="008A66D8">
        <w:rPr>
          <w:sz w:val="28"/>
          <w:szCs w:val="28"/>
        </w:rPr>
        <w:t>N</w:t>
      </w:r>
      <w:r>
        <w:rPr>
          <w:sz w:val="28"/>
          <w:szCs w:val="28"/>
        </w:rPr>
        <w:t>otre projet pastoral</w:t>
      </w:r>
    </w:p>
    <w:p w:rsidR="008A66D8" w:rsidRDefault="008A66D8"/>
    <w:p w:rsidR="008A66D8" w:rsidRPr="0059565C" w:rsidRDefault="00C335A7" w:rsidP="00C335A7">
      <w:pPr>
        <w:ind w:left="1985"/>
        <w:jc w:val="both"/>
        <w:rPr>
          <w:i/>
        </w:rPr>
      </w:pPr>
      <w:r w:rsidRPr="0059565C">
        <w:rPr>
          <w:i/>
        </w:rPr>
        <w:t>Dans le cadre de notre projet éducatif, il nous est apparu important de nous redire ce qui fondait notre action dans le champ pastoral.</w:t>
      </w:r>
    </w:p>
    <w:p w:rsidR="00C335A7" w:rsidRPr="0059565C" w:rsidRDefault="00C335A7" w:rsidP="00C335A7">
      <w:pPr>
        <w:ind w:left="1985"/>
        <w:jc w:val="both"/>
        <w:rPr>
          <w:i/>
        </w:rPr>
      </w:pPr>
      <w:r w:rsidRPr="0059565C">
        <w:rPr>
          <w:i/>
        </w:rPr>
        <w:t>Nous avons souhaité, en conseil d’établissement, avec des représentants de tous les partenaires de notre école (parents, enseignants, personnels, paroisse), redire nos convictions et nos orientations autour de cette dimension de notre projet.</w:t>
      </w:r>
    </w:p>
    <w:p w:rsidR="00C335A7" w:rsidRDefault="00C335A7" w:rsidP="0059565C"/>
    <w:p w:rsidR="0059565C" w:rsidRDefault="0059565C" w:rsidP="0059565C"/>
    <w:tbl>
      <w:tblPr>
        <w:tblStyle w:val="Grilledutableau"/>
        <w:tblW w:w="0" w:type="auto"/>
        <w:tblLook w:val="04A0"/>
      </w:tblPr>
      <w:tblGrid>
        <w:gridCol w:w="2093"/>
        <w:gridCol w:w="7119"/>
      </w:tblGrid>
      <w:tr w:rsidR="008A66D8" w:rsidTr="0059565C">
        <w:tc>
          <w:tcPr>
            <w:tcW w:w="2093" w:type="dxa"/>
            <w:vAlign w:val="center"/>
          </w:tcPr>
          <w:p w:rsidR="008A66D8" w:rsidRPr="0059565C" w:rsidRDefault="008A66D8" w:rsidP="0059565C">
            <w:pPr>
              <w:jc w:val="center"/>
              <w:rPr>
                <w:b/>
                <w:sz w:val="28"/>
                <w:szCs w:val="28"/>
              </w:rPr>
            </w:pPr>
            <w:r w:rsidRPr="0059565C">
              <w:rPr>
                <w:b/>
                <w:sz w:val="28"/>
                <w:szCs w:val="28"/>
              </w:rPr>
              <w:t>Agir</w:t>
            </w:r>
          </w:p>
          <w:p w:rsidR="0059565C" w:rsidRDefault="0059565C" w:rsidP="0059565C">
            <w:pPr>
              <w:jc w:val="center"/>
            </w:pPr>
          </w:p>
          <w:p w:rsidR="0059565C" w:rsidRPr="0059565C" w:rsidRDefault="0059565C" w:rsidP="0059565C">
            <w:pPr>
              <w:jc w:val="center"/>
              <w:rPr>
                <w:i/>
              </w:rPr>
            </w:pPr>
            <w:r w:rsidRPr="0059565C">
              <w:rPr>
                <w:i/>
              </w:rPr>
              <w:t>Projets d’action éthique</w:t>
            </w:r>
          </w:p>
          <w:p w:rsidR="0059565C" w:rsidRDefault="0059565C" w:rsidP="0059565C">
            <w:pPr>
              <w:jc w:val="center"/>
            </w:pPr>
            <w:r w:rsidRPr="0059565C">
              <w:rPr>
                <w:i/>
              </w:rPr>
              <w:t>(solidarité, …)</w:t>
            </w:r>
          </w:p>
        </w:tc>
        <w:tc>
          <w:tcPr>
            <w:tcW w:w="7119" w:type="dxa"/>
            <w:vAlign w:val="center"/>
          </w:tcPr>
          <w:p w:rsidR="008A66D8" w:rsidRDefault="00E54CD6" w:rsidP="0059565C">
            <w:r>
              <w:t xml:space="preserve">Faire expérimenter </w:t>
            </w:r>
            <w:r w:rsidR="00C335A7">
              <w:t>des</w:t>
            </w:r>
            <w:r>
              <w:t xml:space="preserve"> action</w:t>
            </w:r>
            <w:r w:rsidR="00C335A7">
              <w:t>s</w:t>
            </w:r>
            <w:r>
              <w:t xml:space="preserve"> de solidarité pour que les enfants prennent conscience des diversités, des difficultés ou de la préca</w:t>
            </w:r>
            <w:r w:rsidR="00C335A7">
              <w:t>rité que vivent d’autres personnes, d’autres enfants</w:t>
            </w:r>
            <w:r>
              <w:t>.</w:t>
            </w:r>
          </w:p>
          <w:p w:rsidR="00E54CD6" w:rsidRDefault="00C335A7" w:rsidP="0059565C">
            <w:r>
              <w:t>Se rapprocher</w:t>
            </w:r>
            <w:r w:rsidR="00E54CD6">
              <w:t xml:space="preserve"> des réalités locales pour mieux </w:t>
            </w:r>
            <w:r>
              <w:t>rejoindre</w:t>
            </w:r>
            <w:r w:rsidR="00E54CD6">
              <w:t xml:space="preserve"> les </w:t>
            </w:r>
            <w:r>
              <w:t>enfants</w:t>
            </w:r>
            <w:r w:rsidR="00E54CD6">
              <w:t xml:space="preserve"> où ils sont (tenir compte du contexte local).</w:t>
            </w:r>
          </w:p>
          <w:p w:rsidR="00E54CD6" w:rsidRDefault="00E54CD6" w:rsidP="0059565C">
            <w:r>
              <w:t xml:space="preserve">Eclairer les </w:t>
            </w:r>
            <w:r w:rsidR="00C335A7">
              <w:t>enfants sur le pourquoi des</w:t>
            </w:r>
            <w:r>
              <w:t xml:space="preserve"> action</w:t>
            </w:r>
            <w:r w:rsidR="00C335A7">
              <w:t>s entreprises</w:t>
            </w:r>
            <w:r>
              <w:t>.</w:t>
            </w:r>
          </w:p>
        </w:tc>
      </w:tr>
      <w:tr w:rsidR="008A66D8" w:rsidTr="0059565C">
        <w:tc>
          <w:tcPr>
            <w:tcW w:w="2093" w:type="dxa"/>
            <w:vAlign w:val="center"/>
          </w:tcPr>
          <w:p w:rsidR="008A66D8" w:rsidRDefault="008A66D8" w:rsidP="0059565C">
            <w:pPr>
              <w:jc w:val="center"/>
            </w:pPr>
            <w:r w:rsidRPr="0059565C">
              <w:rPr>
                <w:b/>
                <w:sz w:val="28"/>
                <w:szCs w:val="28"/>
              </w:rPr>
              <w:t>Choisir</w:t>
            </w:r>
          </w:p>
          <w:p w:rsidR="0059565C" w:rsidRDefault="0059565C" w:rsidP="0059565C">
            <w:pPr>
              <w:jc w:val="center"/>
            </w:pPr>
          </w:p>
          <w:p w:rsidR="0059565C" w:rsidRDefault="0059565C" w:rsidP="0059565C">
            <w:pPr>
              <w:jc w:val="center"/>
            </w:pPr>
            <w:r w:rsidRPr="0059565C">
              <w:rPr>
                <w:i/>
              </w:rPr>
              <w:t>Formation humaine</w:t>
            </w:r>
          </w:p>
        </w:tc>
        <w:tc>
          <w:tcPr>
            <w:tcW w:w="7119" w:type="dxa"/>
            <w:vAlign w:val="center"/>
          </w:tcPr>
          <w:p w:rsidR="008A66D8" w:rsidRDefault="00C335A7" w:rsidP="0059565C">
            <w:r>
              <w:t>A</w:t>
            </w:r>
            <w:r w:rsidR="00E54CD6">
              <w:t xml:space="preserve">mener </w:t>
            </w:r>
            <w:r>
              <w:t xml:space="preserve">les élèves </w:t>
            </w:r>
            <w:r w:rsidR="00E54CD6">
              <w:t>à s’interroger sur leurs actes, leur environnement… les amener à un libre arbitre.</w:t>
            </w:r>
          </w:p>
          <w:p w:rsidR="00E54CD6" w:rsidRDefault="00E54CD6" w:rsidP="0059565C">
            <w:r>
              <w:t>Les rendre acteurs le plus souvent possible (fêtes, célébrations…).</w:t>
            </w:r>
          </w:p>
          <w:p w:rsidR="00E54CD6" w:rsidRDefault="00C335A7" w:rsidP="0059565C">
            <w:r>
              <w:t>Inviter les enfants à t</w:t>
            </w:r>
            <w:r w:rsidR="00E54CD6">
              <w:t>enir une responsabilité.</w:t>
            </w:r>
          </w:p>
          <w:p w:rsidR="00E54CD6" w:rsidRDefault="00E54CD6" w:rsidP="0059565C">
            <w:r>
              <w:t xml:space="preserve">Préserver </w:t>
            </w:r>
            <w:r w:rsidR="00C335A7">
              <w:t>en classe d</w:t>
            </w:r>
            <w:r>
              <w:t>es temps d’intériorité, de gratuité…</w:t>
            </w:r>
          </w:p>
          <w:p w:rsidR="00E54CD6" w:rsidRDefault="00E54CD6" w:rsidP="0059565C">
            <w:r>
              <w:t>Se saisir d’occasions de vie quotidienne pour prendre le temps des échanges, de la rencontre.</w:t>
            </w:r>
          </w:p>
          <w:p w:rsidR="00E54CD6" w:rsidRDefault="00C335A7" w:rsidP="0059565C">
            <w:r>
              <w:t>A</w:t>
            </w:r>
            <w:r w:rsidR="00E54CD6">
              <w:t xml:space="preserve">ccompagner </w:t>
            </w:r>
            <w:r>
              <w:t xml:space="preserve">les enfants </w:t>
            </w:r>
            <w:r w:rsidR="00E54CD6">
              <w:t>dans des propositions à respecter l’autre…</w:t>
            </w:r>
          </w:p>
        </w:tc>
      </w:tr>
      <w:tr w:rsidR="008A66D8" w:rsidTr="0059565C">
        <w:tc>
          <w:tcPr>
            <w:tcW w:w="2093" w:type="dxa"/>
            <w:vAlign w:val="center"/>
          </w:tcPr>
          <w:p w:rsidR="008A66D8" w:rsidRDefault="008A66D8" w:rsidP="0059565C">
            <w:pPr>
              <w:jc w:val="center"/>
            </w:pPr>
            <w:r w:rsidRPr="0059565C">
              <w:rPr>
                <w:b/>
                <w:sz w:val="28"/>
                <w:szCs w:val="28"/>
              </w:rPr>
              <w:t>Comprendre</w:t>
            </w:r>
          </w:p>
          <w:p w:rsidR="0059565C" w:rsidRDefault="0059565C" w:rsidP="0059565C">
            <w:pPr>
              <w:jc w:val="center"/>
            </w:pPr>
          </w:p>
          <w:p w:rsidR="0059565C" w:rsidRDefault="0059565C" w:rsidP="0059565C">
            <w:pPr>
              <w:jc w:val="center"/>
            </w:pPr>
            <w:r w:rsidRPr="0059565C">
              <w:rPr>
                <w:i/>
              </w:rPr>
              <w:t>Culture chrétienne</w:t>
            </w:r>
          </w:p>
        </w:tc>
        <w:tc>
          <w:tcPr>
            <w:tcW w:w="7119" w:type="dxa"/>
            <w:vAlign w:val="center"/>
          </w:tcPr>
          <w:p w:rsidR="00753CC6" w:rsidRDefault="00C335A7" w:rsidP="0059565C">
            <w:r>
              <w:t>Ouvrir les enfants</w:t>
            </w:r>
            <w:r w:rsidR="00753CC6">
              <w:t xml:space="preserve"> vers la culture chrétienne et les autres religions et avoir des éléments de compréhension</w:t>
            </w:r>
            <w:r w:rsidR="0059565C">
              <w:t xml:space="preserve"> du monde dans lequel ils vivent</w:t>
            </w:r>
            <w:r w:rsidR="00753CC6">
              <w:t>.</w:t>
            </w:r>
          </w:p>
          <w:p w:rsidR="00753CC6" w:rsidRDefault="00753CC6" w:rsidP="0059565C">
            <w:r>
              <w:t>Permettre un échange à la maison… permettre aux enfants d’en parler chez eux.</w:t>
            </w:r>
          </w:p>
          <w:p w:rsidR="00753CC6" w:rsidRDefault="00753CC6" w:rsidP="0059565C">
            <w:r>
              <w:t xml:space="preserve">Permettre l’échange </w:t>
            </w:r>
            <w:r w:rsidR="0059565C">
              <w:t xml:space="preserve">en classe </w:t>
            </w:r>
            <w:r>
              <w:t xml:space="preserve">pour aller vers un débat… </w:t>
            </w:r>
          </w:p>
        </w:tc>
      </w:tr>
      <w:tr w:rsidR="008A66D8" w:rsidTr="0059565C">
        <w:tc>
          <w:tcPr>
            <w:tcW w:w="2093" w:type="dxa"/>
            <w:vAlign w:val="center"/>
          </w:tcPr>
          <w:p w:rsidR="008A66D8" w:rsidRDefault="008A66D8" w:rsidP="0059565C">
            <w:pPr>
              <w:jc w:val="center"/>
            </w:pPr>
            <w:r w:rsidRPr="0059565C">
              <w:rPr>
                <w:b/>
                <w:sz w:val="28"/>
                <w:szCs w:val="28"/>
              </w:rPr>
              <w:t>Croire</w:t>
            </w:r>
          </w:p>
          <w:p w:rsidR="0059565C" w:rsidRDefault="0059565C" w:rsidP="0059565C">
            <w:pPr>
              <w:jc w:val="center"/>
            </w:pPr>
          </w:p>
          <w:p w:rsidR="0059565C" w:rsidRDefault="0059565C" w:rsidP="0059565C">
            <w:pPr>
              <w:jc w:val="center"/>
            </w:pPr>
            <w:r w:rsidRPr="0059565C">
              <w:rPr>
                <w:i/>
              </w:rPr>
              <w:t>Catéchèse, initiation à la Foi</w:t>
            </w:r>
          </w:p>
        </w:tc>
        <w:tc>
          <w:tcPr>
            <w:tcW w:w="7119" w:type="dxa"/>
            <w:vAlign w:val="center"/>
          </w:tcPr>
          <w:p w:rsidR="0059565C" w:rsidRDefault="0059565C" w:rsidP="0059565C">
            <w:r>
              <w:t>Favoriser le lien avec les familles qui font la catéchèse, favoriser le lien des familles avec les propositions faites sur la paroisse (information, …).</w:t>
            </w:r>
          </w:p>
          <w:p w:rsidR="0059565C" w:rsidRDefault="0059565C" w:rsidP="0059565C">
            <w:r>
              <w:t>Développer les liens avec la paroisse (va et vient).</w:t>
            </w:r>
          </w:p>
          <w:p w:rsidR="008A66D8" w:rsidRDefault="00753CC6" w:rsidP="0059565C">
            <w:r>
              <w:t>Ne pas imposer</w:t>
            </w:r>
            <w:r w:rsidR="0059565C">
              <w:t xml:space="preserve"> cette démarche de foi</w:t>
            </w:r>
            <w:r>
              <w:t xml:space="preserve">… </w:t>
            </w:r>
            <w:r w:rsidR="0059565C">
              <w:t xml:space="preserve">la </w:t>
            </w:r>
            <w:r>
              <w:t>proposer.</w:t>
            </w:r>
          </w:p>
          <w:p w:rsidR="006E0A38" w:rsidRDefault="00753CC6" w:rsidP="0059565C">
            <w:r>
              <w:t xml:space="preserve">Laisser un espace de parole libre pour les enfants </w:t>
            </w:r>
            <w:r w:rsidR="0059565C">
              <w:t xml:space="preserve">catéchisés </w:t>
            </w:r>
            <w:r>
              <w:t>(ouvrir au témoignage).</w:t>
            </w:r>
          </w:p>
        </w:tc>
      </w:tr>
      <w:tr w:rsidR="008A66D8" w:rsidTr="0059565C">
        <w:tc>
          <w:tcPr>
            <w:tcW w:w="2093" w:type="dxa"/>
            <w:vAlign w:val="center"/>
          </w:tcPr>
          <w:p w:rsidR="008A66D8" w:rsidRDefault="008A66D8" w:rsidP="0059565C">
            <w:pPr>
              <w:jc w:val="center"/>
            </w:pPr>
            <w:r w:rsidRPr="0059565C">
              <w:rPr>
                <w:b/>
                <w:sz w:val="28"/>
                <w:szCs w:val="28"/>
              </w:rPr>
              <w:t>Célébrer</w:t>
            </w:r>
          </w:p>
          <w:p w:rsidR="0059565C" w:rsidRDefault="0059565C" w:rsidP="0059565C">
            <w:pPr>
              <w:jc w:val="center"/>
            </w:pPr>
          </w:p>
          <w:p w:rsidR="0059565C" w:rsidRPr="0059565C" w:rsidRDefault="0059565C" w:rsidP="0059565C">
            <w:pPr>
              <w:jc w:val="center"/>
              <w:rPr>
                <w:i/>
              </w:rPr>
            </w:pPr>
            <w:r w:rsidRPr="0059565C">
              <w:rPr>
                <w:i/>
              </w:rPr>
              <w:t>Fêtes, temps forts, célébrations</w:t>
            </w:r>
          </w:p>
        </w:tc>
        <w:tc>
          <w:tcPr>
            <w:tcW w:w="7119" w:type="dxa"/>
            <w:vAlign w:val="center"/>
          </w:tcPr>
          <w:p w:rsidR="006E0A38" w:rsidRDefault="006E0A38" w:rsidP="0059565C">
            <w:r>
              <w:t xml:space="preserve">Vivre des temps forts dans l’année qui traversent le calendrier liturgique ou </w:t>
            </w:r>
            <w:r w:rsidR="0059565C">
              <w:t xml:space="preserve">visent </w:t>
            </w:r>
            <w:r>
              <w:t>des thèmes spécifiques (pardon, …).</w:t>
            </w:r>
          </w:p>
          <w:p w:rsidR="006E0A38" w:rsidRDefault="006E0A38" w:rsidP="0059565C">
            <w:r>
              <w:t>Faire en sorte que les enfants s’approprient  les lieux</w:t>
            </w:r>
            <w:r w:rsidR="0059565C">
              <w:t xml:space="preserve"> (église, …)</w:t>
            </w:r>
            <w:r>
              <w:t>.</w:t>
            </w:r>
          </w:p>
          <w:p w:rsidR="006145C3" w:rsidRDefault="006145C3" w:rsidP="0059565C">
            <w:r>
              <w:t>Proposer aux enfants d’être acteurs de ces temps forts.</w:t>
            </w:r>
          </w:p>
        </w:tc>
      </w:tr>
    </w:tbl>
    <w:p w:rsidR="008A66D8" w:rsidRDefault="008A66D8"/>
    <w:sectPr w:rsidR="008A66D8" w:rsidSect="00BC05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A66D8"/>
    <w:rsid w:val="00191250"/>
    <w:rsid w:val="00244657"/>
    <w:rsid w:val="003409AE"/>
    <w:rsid w:val="0059565C"/>
    <w:rsid w:val="006145C3"/>
    <w:rsid w:val="006E0A38"/>
    <w:rsid w:val="00753CC6"/>
    <w:rsid w:val="008A66D8"/>
    <w:rsid w:val="008C5BCB"/>
    <w:rsid w:val="00A3119A"/>
    <w:rsid w:val="00AA09ED"/>
    <w:rsid w:val="00BC0553"/>
    <w:rsid w:val="00C335A7"/>
    <w:rsid w:val="00E54C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A6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335A7"/>
    <w:rPr>
      <w:rFonts w:ascii="Tahoma" w:hAnsi="Tahoma" w:cs="Tahoma"/>
      <w:sz w:val="16"/>
      <w:szCs w:val="16"/>
    </w:rPr>
  </w:style>
  <w:style w:type="character" w:customStyle="1" w:styleId="TextedebullesCar">
    <w:name w:val="Texte de bulles Car"/>
    <w:basedOn w:val="Policepardfaut"/>
    <w:link w:val="Textedebulles"/>
    <w:uiPriority w:val="99"/>
    <w:semiHidden/>
    <w:rsid w:val="00C335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CE12E-3CB6-455D-8311-ACF9DC86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348</Words>
  <Characters>1914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pclt</dc:creator>
  <cp:keywords/>
  <dc:description/>
  <cp:lastModifiedBy>pclt</cp:lastModifiedBy>
  <cp:revision>2</cp:revision>
  <dcterms:created xsi:type="dcterms:W3CDTF">2011-12-01T10:47:00Z</dcterms:created>
  <dcterms:modified xsi:type="dcterms:W3CDTF">2011-12-01T10:47:00Z</dcterms:modified>
</cp:coreProperties>
</file>